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D57" w:rsidRDefault="00C12D57" w:rsidP="00C12D57">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C12D57">
        <w:rPr>
          <w:rFonts w:ascii="Arial" w:eastAsia="Times New Roman" w:hAnsi="Arial" w:cs="Arial"/>
          <w:color w:val="333333"/>
          <w:kern w:val="36"/>
          <w:sz w:val="48"/>
          <w:szCs w:val="48"/>
          <w:lang w:eastAsia="es-CO"/>
        </w:rPr>
        <w:t>Departamento Administrativo de la Función Pública</w:t>
      </w:r>
    </w:p>
    <w:p w:rsidR="00C12D57" w:rsidRPr="00C12D57" w:rsidRDefault="00C12D57" w:rsidP="00C12D57">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C12D57">
        <w:rPr>
          <w:rFonts w:ascii="Arial" w:eastAsia="Times New Roman" w:hAnsi="Arial" w:cs="Arial"/>
          <w:color w:val="333333"/>
          <w:kern w:val="36"/>
          <w:sz w:val="48"/>
          <w:szCs w:val="48"/>
          <w:lang w:eastAsia="es-CO"/>
        </w:rPr>
        <w:t>Concepto 100231 de 2019</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*20196000100231*</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r w:rsidRPr="00C12D57">
        <w:rPr>
          <w:rFonts w:ascii="Arial" w:eastAsia="Times New Roman" w:hAnsi="Arial" w:cs="Arial"/>
          <w:b/>
          <w:bCs/>
          <w:color w:val="666666"/>
          <w:sz w:val="24"/>
          <w:szCs w:val="24"/>
          <w:lang w:eastAsia="es-CO"/>
        </w:rPr>
        <w:t>Al contestar por favor cite estos datos:</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Radicado No.: 20196000100231</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Fecha: 07/05/2019 09:59:19 a.m.</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Bogotá D.C.</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bookmarkStart w:id="0" w:name="_GoBack"/>
      <w:r w:rsidRPr="00C12D57">
        <w:rPr>
          <w:rFonts w:ascii="Arial" w:eastAsia="Times New Roman" w:hAnsi="Arial" w:cs="Arial"/>
          <w:b/>
          <w:bCs/>
          <w:color w:val="666666"/>
          <w:sz w:val="24"/>
          <w:szCs w:val="24"/>
          <w:lang w:eastAsia="es-CO"/>
        </w:rPr>
        <w:t>REF.: EMPLEOS</w:t>
      </w:r>
      <w:r w:rsidRPr="00C12D57">
        <w:rPr>
          <w:rFonts w:ascii="Arial" w:eastAsia="Times New Roman" w:hAnsi="Arial" w:cs="Arial"/>
          <w:color w:val="666666"/>
          <w:sz w:val="24"/>
          <w:szCs w:val="24"/>
          <w:lang w:eastAsia="es-CO"/>
        </w:rPr>
        <w:t>. -</w:t>
      </w:r>
      <w:r w:rsidRPr="00C12D57">
        <w:rPr>
          <w:rFonts w:ascii="Arial" w:eastAsia="Times New Roman" w:hAnsi="Arial" w:cs="Arial"/>
          <w:b/>
          <w:bCs/>
          <w:color w:val="666666"/>
          <w:sz w:val="24"/>
          <w:szCs w:val="24"/>
          <w:lang w:eastAsia="es-CO"/>
        </w:rPr>
        <w:t>PROVISION</w:t>
      </w:r>
      <w:r w:rsidRPr="00C12D57">
        <w:rPr>
          <w:rFonts w:ascii="Arial" w:eastAsia="Times New Roman" w:hAnsi="Arial" w:cs="Arial"/>
          <w:color w:val="666666"/>
          <w:sz w:val="24"/>
          <w:szCs w:val="24"/>
          <w:lang w:eastAsia="es-CO"/>
        </w:rPr>
        <w:t>. Forma de proveer el empleo de Personero Municipal. </w:t>
      </w:r>
      <w:bookmarkEnd w:id="0"/>
      <w:r w:rsidRPr="00C12D57">
        <w:rPr>
          <w:rFonts w:ascii="Arial" w:eastAsia="Times New Roman" w:hAnsi="Arial" w:cs="Arial"/>
          <w:b/>
          <w:bCs/>
          <w:color w:val="666666"/>
          <w:sz w:val="24"/>
          <w:szCs w:val="24"/>
          <w:lang w:eastAsia="es-CO"/>
        </w:rPr>
        <w:t>Rad 20192060105292 de fecha 21 de marzo de 2019.</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Me refiero a su comunicación en la cual realiza una serie de preguntas relacionadas con la elección del personero, como consecuencia de la renuncia del personero municipal. Es así como, me permito dar respuesta de manera general a sus inquietudes, así:</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La elección del personero se hará en los términos establecidos en el artículo </w:t>
      </w:r>
      <w:hyperlink r:id="rId5" w:anchor="170" w:history="1">
        <w:r w:rsidRPr="00C12D57">
          <w:rPr>
            <w:rFonts w:ascii="Arial" w:eastAsia="Times New Roman" w:hAnsi="Arial" w:cs="Arial"/>
            <w:color w:val="337AB7"/>
            <w:sz w:val="24"/>
            <w:szCs w:val="24"/>
            <w:lang w:eastAsia="es-CO"/>
          </w:rPr>
          <w:t>170</w:t>
        </w:r>
      </w:hyperlink>
      <w:r w:rsidRPr="00C12D57">
        <w:rPr>
          <w:rFonts w:ascii="Arial" w:eastAsia="Times New Roman" w:hAnsi="Arial" w:cs="Arial"/>
          <w:color w:val="666666"/>
          <w:sz w:val="24"/>
          <w:szCs w:val="24"/>
          <w:lang w:eastAsia="es-CO"/>
        </w:rPr>
        <w:t> de ley 136 de 1994, el cual dispone que los Concejos Municipales o distritales según el caso, elegirán personeros para periodos institucionales de cuatro (4) años, dentro de los diez (10) primeros días del mes de enero del año en que inicia su periodo constitucional, </w:t>
      </w:r>
      <w:r w:rsidRPr="00C12D57">
        <w:rPr>
          <w:rFonts w:ascii="Arial" w:eastAsia="Times New Roman" w:hAnsi="Arial" w:cs="Arial"/>
          <w:color w:val="666666"/>
          <w:sz w:val="24"/>
          <w:szCs w:val="24"/>
          <w:u w:val="single"/>
          <w:lang w:eastAsia="es-CO"/>
        </w:rPr>
        <w:t>previo concurso público de méritos</w:t>
      </w:r>
      <w:r w:rsidRPr="00C12D57">
        <w:rPr>
          <w:rFonts w:ascii="Arial" w:eastAsia="Times New Roman" w:hAnsi="Arial" w:cs="Arial"/>
          <w:color w:val="666666"/>
          <w:sz w:val="24"/>
          <w:szCs w:val="24"/>
          <w:lang w:eastAsia="es-CO"/>
        </w:rPr>
        <w:t>, de conformidad con la ley vigente. Los personeros así elegidos, iniciarán su periodo el primero de marzo siguiente a su elección y lo concluirán el último día del mes de febrero del cuarto año.</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De otra parte, el decreto </w:t>
      </w:r>
      <w:hyperlink r:id="rId6" w:anchor="1083" w:history="1">
        <w:r w:rsidRPr="00C12D57">
          <w:rPr>
            <w:rFonts w:ascii="Arial" w:eastAsia="Times New Roman" w:hAnsi="Arial" w:cs="Arial"/>
            <w:color w:val="337AB7"/>
            <w:sz w:val="24"/>
            <w:szCs w:val="24"/>
            <w:lang w:eastAsia="es-CO"/>
          </w:rPr>
          <w:t>1083</w:t>
        </w:r>
      </w:hyperlink>
      <w:r w:rsidRPr="00C12D57">
        <w:rPr>
          <w:rFonts w:ascii="Arial" w:eastAsia="Times New Roman" w:hAnsi="Arial" w:cs="Arial"/>
          <w:color w:val="666666"/>
          <w:sz w:val="24"/>
          <w:szCs w:val="24"/>
          <w:lang w:eastAsia="es-CO"/>
        </w:rPr>
        <w:t> de 2015 dispone en relación con los concursos de elección de personeros:</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lastRenderedPageBreak/>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b/>
          <w:bCs/>
          <w:i/>
          <w:iCs/>
          <w:color w:val="666666"/>
          <w:sz w:val="24"/>
          <w:szCs w:val="24"/>
          <w:lang w:eastAsia="es-CO"/>
        </w:rPr>
        <w:t>“ARTÍCULO </w:t>
      </w:r>
      <w:hyperlink r:id="rId7" w:anchor="2.2.27.1" w:history="1">
        <w:r w:rsidRPr="00C12D57">
          <w:rPr>
            <w:rFonts w:ascii="Arial" w:eastAsia="Times New Roman" w:hAnsi="Arial" w:cs="Arial"/>
            <w:b/>
            <w:bCs/>
            <w:i/>
            <w:iCs/>
            <w:color w:val="337AB7"/>
            <w:sz w:val="24"/>
            <w:szCs w:val="24"/>
            <w:lang w:eastAsia="es-CO"/>
          </w:rPr>
          <w:t>2.2.27.1</w:t>
        </w:r>
      </w:hyperlink>
      <w:hyperlink r:id="rId8" w:anchor="2.2.27.1" w:history="1">
        <w:r w:rsidRPr="00C12D57">
          <w:rPr>
            <w:rFonts w:ascii="Arial" w:eastAsia="Times New Roman" w:hAnsi="Arial" w:cs="Arial"/>
            <w:i/>
            <w:iCs/>
            <w:color w:val="337AB7"/>
            <w:sz w:val="24"/>
            <w:szCs w:val="24"/>
            <w:lang w:eastAsia="es-CO"/>
          </w:rPr>
          <w:t> </w:t>
        </w:r>
      </w:hyperlink>
      <w:r w:rsidRPr="00C12D57">
        <w:rPr>
          <w:rFonts w:ascii="Arial" w:eastAsia="Times New Roman" w:hAnsi="Arial" w:cs="Arial"/>
          <w:b/>
          <w:bCs/>
          <w:i/>
          <w:iCs/>
          <w:color w:val="666666"/>
          <w:sz w:val="24"/>
          <w:szCs w:val="24"/>
          <w:lang w:eastAsia="es-CO"/>
        </w:rPr>
        <w:t>Concurso público de méritos para la elección personeros.</w:t>
      </w:r>
      <w:r w:rsidRPr="00C12D57">
        <w:rPr>
          <w:rFonts w:ascii="Arial" w:eastAsia="Times New Roman" w:hAnsi="Arial" w:cs="Arial"/>
          <w:i/>
          <w:iCs/>
          <w:color w:val="666666"/>
          <w:sz w:val="24"/>
          <w:szCs w:val="24"/>
          <w:lang w:eastAsia="es-CO"/>
        </w:rPr>
        <w:t> El personero municipal o distrital será elegido de la lista que resulte del proceso de selección público y abierto adelantado por el concejo municipal o distrital.</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Los concejos municipales o distritales efectuarán los trámites pertinentes para el concurso, que podrá efectuarse a través de universidades o instituciones de educación superior públicas o privadas o con entidades especializadas en procesos de selección de personal.</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El concurso de méritos en todas sus etapas deberá ser adelantado atendiendo criterios de objetividad, transparencia, imparcialidad y publicidad, teniendo en cuenta la idoneidad de los aspirantes para el ejercicio de las funciones.”</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b/>
          <w:bCs/>
          <w:i/>
          <w:iCs/>
          <w:color w:val="666666"/>
          <w:sz w:val="24"/>
          <w:szCs w:val="24"/>
          <w:lang w:eastAsia="es-CO"/>
        </w:rPr>
        <w:t>“ARTÍCULO </w:t>
      </w:r>
      <w:hyperlink r:id="rId9" w:anchor="2.2.27.2" w:history="1">
        <w:r w:rsidRPr="00C12D57">
          <w:rPr>
            <w:rFonts w:ascii="Arial" w:eastAsia="Times New Roman" w:hAnsi="Arial" w:cs="Arial"/>
            <w:b/>
            <w:bCs/>
            <w:i/>
            <w:iCs/>
            <w:color w:val="337AB7"/>
            <w:sz w:val="24"/>
            <w:szCs w:val="24"/>
            <w:lang w:eastAsia="es-CO"/>
          </w:rPr>
          <w:t>2.</w:t>
        </w:r>
      </w:hyperlink>
      <w:hyperlink r:id="rId10" w:anchor="2.2.27.2" w:history="1">
        <w:r w:rsidRPr="00C12D57">
          <w:rPr>
            <w:rFonts w:ascii="Arial" w:eastAsia="Times New Roman" w:hAnsi="Arial" w:cs="Arial"/>
            <w:b/>
            <w:bCs/>
            <w:i/>
            <w:iCs/>
            <w:color w:val="337AB7"/>
            <w:sz w:val="24"/>
            <w:szCs w:val="24"/>
            <w:lang w:eastAsia="es-CO"/>
          </w:rPr>
          <w:t>2.27.2</w:t>
        </w:r>
      </w:hyperlink>
      <w:r w:rsidRPr="00C12D57">
        <w:rPr>
          <w:rFonts w:ascii="Arial" w:eastAsia="Times New Roman" w:hAnsi="Arial" w:cs="Arial"/>
          <w:i/>
          <w:iCs/>
          <w:color w:val="666666"/>
          <w:sz w:val="24"/>
          <w:szCs w:val="24"/>
          <w:lang w:eastAsia="es-CO"/>
        </w:rPr>
        <w:t> </w:t>
      </w:r>
      <w:r w:rsidRPr="00C12D57">
        <w:rPr>
          <w:rFonts w:ascii="Arial" w:eastAsia="Times New Roman" w:hAnsi="Arial" w:cs="Arial"/>
          <w:b/>
          <w:bCs/>
          <w:i/>
          <w:iCs/>
          <w:color w:val="666666"/>
          <w:sz w:val="24"/>
          <w:szCs w:val="24"/>
          <w:lang w:eastAsia="es-CO"/>
        </w:rPr>
        <w:t>Etapas del concurso público de méritos para la elección de personeros.</w:t>
      </w:r>
      <w:r w:rsidRPr="00C12D57">
        <w:rPr>
          <w:rFonts w:ascii="Arial" w:eastAsia="Times New Roman" w:hAnsi="Arial" w:cs="Arial"/>
          <w:i/>
          <w:iCs/>
          <w:color w:val="666666"/>
          <w:sz w:val="24"/>
          <w:szCs w:val="24"/>
          <w:lang w:eastAsia="es-CO"/>
        </w:rPr>
        <w:t> El concurso público de méritos para la elección de personeros tendrá como mínimo las siguientes etapas:</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a) Convocatoria. La convocatoria, deberá ser suscrita por la Mesa Directiva del Concejo Municipal o Distrital, previa autorización de la Plenaria de la corporación. La convocatoria es norma reguladora de todo el concurso y obliga tanto a la administración, como a las entidades contratadas para su realización y a los participantes. Contendrá el reglamento del concurso, las etapas que deben surtirse y el procedimiento administrativo orientado a garantizar los principios de igualdad, moralidad, eficacia, economía, celeridad, imparcialidad y publicidad en el proceso de elección.</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La convocatoria deberá contener, por lo menos, la siguiente información: fecha de fijación; denominación, código y grado; salario; lugar de trabajo; lugar, fecha y hora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del concurso; fecha de publicación de los resultados del concurso; los requisitos para el desempeño del cargo, que en ningún caso podrán ser diferentes a los establecidos en la Ley </w:t>
      </w:r>
      <w:hyperlink r:id="rId11" w:anchor="1551" w:history="1">
        <w:r w:rsidRPr="00C12D57">
          <w:rPr>
            <w:rFonts w:ascii="Arial" w:eastAsia="Times New Roman" w:hAnsi="Arial" w:cs="Arial"/>
            <w:i/>
            <w:iCs/>
            <w:color w:val="337AB7"/>
            <w:sz w:val="24"/>
            <w:szCs w:val="24"/>
            <w:lang w:eastAsia="es-CO"/>
          </w:rPr>
          <w:t>1551</w:t>
        </w:r>
      </w:hyperlink>
      <w:r w:rsidRPr="00C12D57">
        <w:rPr>
          <w:rFonts w:ascii="Arial" w:eastAsia="Times New Roman" w:hAnsi="Arial" w:cs="Arial"/>
          <w:i/>
          <w:iCs/>
          <w:color w:val="666666"/>
          <w:sz w:val="24"/>
          <w:szCs w:val="24"/>
          <w:lang w:eastAsia="es-CO"/>
        </w:rPr>
        <w:t> de 2012; y funciones y condiciones adicionales que se consideren pertinentes para el proceso.</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lastRenderedPageBreak/>
        <w:t>b) Reclutamiento. Esta etapa tiene como objetivo atraer e inscribir el mayor número de aspirantes que reúna los requisitos para el desempeño del empleo objeto del concurso.</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c) Pruebas. Las pruebas o instrumentos de selección tienen como finalidad apreciar la capacidad, idoneidad y adecuación de los aspirantes, así como establecer una clasificación de los candidatos respecto a las calidades requeridas para desempeñar con efectividad las funciones del empleo.</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El proceso público de méritos para la elección del personero deberá comprender la aplicación de las siguientes pruebas:</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1. Prueba de conocimientos académicos, la cual tendrá el valor que se fije en la convocatoria, que no podrá ser inferior al 60% respecto del total del concurso.</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2. Prueba que evalúe las competencias laborales.</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3. Valoración de los estudios y experiencia que sobrepasen los requisitos del empleo, la cual tendrá el valor que se fije en la convocatoria.</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4. Entrevista, la cual tendrá un valor no superior del 10%, sobre un total de valoración del concurso.</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(Decreto 2485 de 2014, art. </w:t>
      </w:r>
      <w:hyperlink r:id="rId12" w:anchor="2" w:history="1">
        <w:r w:rsidRPr="00C12D57">
          <w:rPr>
            <w:rFonts w:ascii="Arial" w:eastAsia="Times New Roman" w:hAnsi="Arial" w:cs="Arial"/>
            <w:i/>
            <w:iCs/>
            <w:color w:val="337AB7"/>
            <w:sz w:val="24"/>
            <w:szCs w:val="24"/>
            <w:lang w:eastAsia="es-CO"/>
          </w:rPr>
          <w:t>2</w:t>
        </w:r>
      </w:hyperlink>
      <w:r w:rsidRPr="00C12D57">
        <w:rPr>
          <w:rFonts w:ascii="Arial" w:eastAsia="Times New Roman" w:hAnsi="Arial" w:cs="Arial"/>
          <w:i/>
          <w:iCs/>
          <w:color w:val="666666"/>
          <w:sz w:val="24"/>
          <w:szCs w:val="24"/>
          <w:lang w:eastAsia="es-CO"/>
        </w:rPr>
        <w:t>)”</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b/>
          <w:bCs/>
          <w:i/>
          <w:iCs/>
          <w:color w:val="666666"/>
          <w:sz w:val="24"/>
          <w:szCs w:val="24"/>
          <w:lang w:eastAsia="es-CO"/>
        </w:rPr>
        <w:t>“ARTÍCULO </w:t>
      </w:r>
      <w:hyperlink r:id="rId13" w:anchor="2.2.27.4" w:history="1">
        <w:r w:rsidRPr="00C12D57">
          <w:rPr>
            <w:rFonts w:ascii="Arial" w:eastAsia="Times New Roman" w:hAnsi="Arial" w:cs="Arial"/>
            <w:b/>
            <w:bCs/>
            <w:i/>
            <w:iCs/>
            <w:color w:val="337AB7"/>
            <w:sz w:val="24"/>
            <w:szCs w:val="24"/>
            <w:lang w:eastAsia="es-CO"/>
          </w:rPr>
          <w:t>2</w:t>
        </w:r>
      </w:hyperlink>
      <w:hyperlink r:id="rId14" w:anchor="2.2.27.4" w:history="1">
        <w:r w:rsidRPr="00C12D57">
          <w:rPr>
            <w:rFonts w:ascii="Arial" w:eastAsia="Times New Roman" w:hAnsi="Arial" w:cs="Arial"/>
            <w:b/>
            <w:bCs/>
            <w:i/>
            <w:iCs/>
            <w:color w:val="337AB7"/>
            <w:sz w:val="24"/>
            <w:szCs w:val="24"/>
            <w:lang w:eastAsia="es-CO"/>
          </w:rPr>
          <w:t>.2.27.4 </w:t>
        </w:r>
      </w:hyperlink>
      <w:r w:rsidRPr="00C12D57">
        <w:rPr>
          <w:rFonts w:ascii="Arial" w:eastAsia="Times New Roman" w:hAnsi="Arial" w:cs="Arial"/>
          <w:b/>
          <w:bCs/>
          <w:i/>
          <w:iCs/>
          <w:color w:val="666666"/>
          <w:sz w:val="24"/>
          <w:szCs w:val="24"/>
          <w:lang w:eastAsia="es-CO"/>
        </w:rPr>
        <w:t>Lista de elegibles.</w:t>
      </w:r>
      <w:r w:rsidRPr="00C12D57">
        <w:rPr>
          <w:rFonts w:ascii="Arial" w:eastAsia="Times New Roman" w:hAnsi="Arial" w:cs="Arial"/>
          <w:i/>
          <w:iCs/>
          <w:color w:val="666666"/>
          <w:sz w:val="24"/>
          <w:szCs w:val="24"/>
          <w:lang w:eastAsia="es-CO"/>
        </w:rPr>
        <w:t> Con los resultados de las pruebas el concejo municipal o distrital elaborará en estricto orden de mérito la lista de elegibles, con la cual se cubrirá la vacante del empleo de personero con la persona que ocupe el primer puesto de la lista.”</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Ahora bien, si en el mencionado concurso se dio una vigencia a la lista de elegibles se debe dar estricto cumplimiento a la misma, ahora bien, si no se fijó vigencia a la lista de elegibles o no se estableció en la convocatoria, se debe dar aplicación a lo establecido en el artículo 172 de la Ley 136 de 1994, el cual dispone, que, en caso de renuncia del personero municipal, al presentarse una falta absoluta, razón por la cual se debe dar aplicación al artículo:</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lastRenderedPageBreak/>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b/>
          <w:bCs/>
          <w:i/>
          <w:iCs/>
          <w:color w:val="666666"/>
          <w:sz w:val="24"/>
          <w:szCs w:val="24"/>
          <w:lang w:eastAsia="es-CO"/>
        </w:rPr>
        <w:t>“</w:t>
      </w:r>
      <w:hyperlink r:id="rId15" w:anchor="172" w:history="1">
        <w:r w:rsidRPr="00C12D57">
          <w:rPr>
            <w:rFonts w:ascii="Arial" w:eastAsia="Times New Roman" w:hAnsi="Arial" w:cs="Arial"/>
            <w:b/>
            <w:bCs/>
            <w:i/>
            <w:iCs/>
            <w:color w:val="337AB7"/>
            <w:sz w:val="24"/>
            <w:szCs w:val="24"/>
            <w:lang w:eastAsia="es-CO"/>
          </w:rPr>
          <w:t>ARTÍCULO172.</w:t>
        </w:r>
      </w:hyperlink>
      <w:r w:rsidRPr="00C12D57">
        <w:rPr>
          <w:rFonts w:ascii="Arial" w:eastAsia="Times New Roman" w:hAnsi="Arial" w:cs="Arial"/>
          <w:i/>
          <w:iCs/>
          <w:color w:val="666666"/>
          <w:sz w:val="24"/>
          <w:szCs w:val="24"/>
          <w:lang w:eastAsia="es-CO"/>
        </w:rPr>
        <w:t> </w:t>
      </w:r>
      <w:r w:rsidRPr="00C12D57">
        <w:rPr>
          <w:rFonts w:ascii="Arial" w:eastAsia="Times New Roman" w:hAnsi="Arial" w:cs="Arial"/>
          <w:b/>
          <w:bCs/>
          <w:i/>
          <w:iCs/>
          <w:color w:val="666666"/>
          <w:sz w:val="24"/>
          <w:szCs w:val="24"/>
          <w:lang w:eastAsia="es-CO"/>
        </w:rPr>
        <w:t>Falta Absoluta del Personero.</w:t>
      </w:r>
      <w:r w:rsidRPr="00C12D57">
        <w:rPr>
          <w:rFonts w:ascii="Arial" w:eastAsia="Times New Roman" w:hAnsi="Arial" w:cs="Arial"/>
          <w:i/>
          <w:iCs/>
          <w:color w:val="666666"/>
          <w:sz w:val="24"/>
          <w:szCs w:val="24"/>
          <w:lang w:eastAsia="es-CO"/>
        </w:rPr>
        <w:t> En casos de falta absoluta:</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Las faltas temporales del personero serán suplidas por el funcionario de la personería que le siga en jerarquía siempre que reúna las mismas calidades del personero. En caso contrario, lo designará el Concejo y si la corporación no estuviere reunida, lo designará el alcalde. En todo caso, deberán acreditar las calidades exigidas en la presente Ley.</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i/>
          <w:iCs/>
          <w:color w:val="666666"/>
          <w:sz w:val="24"/>
          <w:szCs w:val="24"/>
          <w:lang w:eastAsia="es-CO"/>
        </w:rPr>
        <w:t>Compete a la mesa directiva del Concejo lo relacionado con la aceptación de renuncias, concesión de licencias, vacaciones y permisos al personero.”</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Por lo tanto, si hay lista de elegibles y se encuentra vigente, se debe utilizar para suplir la vacancia, si no, dar aplicación al artículo </w:t>
      </w:r>
      <w:hyperlink r:id="rId16" w:anchor="172" w:history="1">
        <w:r w:rsidRPr="00C12D57">
          <w:rPr>
            <w:rFonts w:ascii="Arial" w:eastAsia="Times New Roman" w:hAnsi="Arial" w:cs="Arial"/>
            <w:color w:val="337AB7"/>
            <w:sz w:val="24"/>
            <w:szCs w:val="24"/>
            <w:lang w:eastAsia="es-CO"/>
          </w:rPr>
          <w:t>172</w:t>
        </w:r>
      </w:hyperlink>
      <w:r w:rsidRPr="00C12D57">
        <w:rPr>
          <w:rFonts w:ascii="Arial" w:eastAsia="Times New Roman" w:hAnsi="Arial" w:cs="Arial"/>
          <w:color w:val="666666"/>
          <w:sz w:val="24"/>
          <w:szCs w:val="24"/>
          <w:lang w:eastAsia="es-CO"/>
        </w:rPr>
        <w:t> de la ley 136 de 1994, por ser una falta absoluta el Concejo procederá en forma inmediata, a realizar una nueva elección, para el período restante, previo concurso público de méritos.</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Para mayor información respecto de las normas de administración de los empleados del sector público; así como las inhabilidades e incompatibilidades aplicables a los mismos, me permito indicar que en el link /</w:t>
      </w:r>
      <w:proofErr w:type="spellStart"/>
      <w:r w:rsidRPr="00C12D57">
        <w:rPr>
          <w:rFonts w:ascii="Arial" w:eastAsia="Times New Roman" w:hAnsi="Arial" w:cs="Arial"/>
          <w:color w:val="666666"/>
          <w:sz w:val="24"/>
          <w:szCs w:val="24"/>
          <w:lang w:eastAsia="es-CO"/>
        </w:rPr>
        <w:t>eva</w:t>
      </w:r>
      <w:proofErr w:type="spellEnd"/>
      <w:r w:rsidRPr="00C12D57">
        <w:rPr>
          <w:rFonts w:ascii="Arial" w:eastAsia="Times New Roman" w:hAnsi="Arial" w:cs="Arial"/>
          <w:color w:val="666666"/>
          <w:sz w:val="24"/>
          <w:szCs w:val="24"/>
          <w:lang w:eastAsia="es-CO"/>
        </w:rPr>
        <w:t>/es/gestor-normativo podrá encontrar conceptos relacionados con el tema, que han sido emitidos por esta Dirección Jurídica.</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El anterior concepto se emite en los términos establecidos en el artículo 28 del Código de Procedimiento Administrativo y de lo Contencioso Administrativo.</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Cordialmente,</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b/>
          <w:bCs/>
          <w:color w:val="666666"/>
          <w:sz w:val="24"/>
          <w:szCs w:val="24"/>
          <w:lang w:eastAsia="es-CO"/>
        </w:rPr>
        <w:t>ARMANDO LOPEZ CORTES</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b/>
          <w:bCs/>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b/>
          <w:bCs/>
          <w:color w:val="666666"/>
          <w:sz w:val="24"/>
          <w:szCs w:val="24"/>
          <w:lang w:eastAsia="es-CO"/>
        </w:rPr>
        <w:t>Director Jurídico</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Proyectó: Luis Fernando Núñez</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 </w:t>
      </w:r>
    </w:p>
    <w:p w:rsidR="00C12D57" w:rsidRPr="00C12D57" w:rsidRDefault="00C12D57" w:rsidP="00C12D57">
      <w:pPr>
        <w:shd w:val="clear" w:color="auto" w:fill="FFFFFF"/>
        <w:spacing w:before="150" w:after="150" w:line="240" w:lineRule="auto"/>
        <w:jc w:val="both"/>
        <w:rPr>
          <w:rFonts w:ascii="Arial" w:eastAsia="Times New Roman" w:hAnsi="Arial" w:cs="Arial"/>
          <w:color w:val="666666"/>
          <w:sz w:val="24"/>
          <w:szCs w:val="24"/>
          <w:lang w:eastAsia="es-CO"/>
        </w:rPr>
      </w:pPr>
      <w:r w:rsidRPr="00C12D57">
        <w:rPr>
          <w:rFonts w:ascii="Arial" w:eastAsia="Times New Roman" w:hAnsi="Arial" w:cs="Arial"/>
          <w:color w:val="666666"/>
          <w:sz w:val="24"/>
          <w:szCs w:val="24"/>
          <w:lang w:eastAsia="es-CO"/>
        </w:rPr>
        <w:t>Revisó: José Fernando Arroyave</w:t>
      </w:r>
    </w:p>
    <w:p w:rsidR="001B05C9" w:rsidRPr="00C12D57" w:rsidRDefault="001B05C9" w:rsidP="00C12D57">
      <w:pPr>
        <w:jc w:val="both"/>
        <w:rPr>
          <w:rFonts w:ascii="Arial" w:hAnsi="Arial" w:cs="Arial"/>
          <w:sz w:val="24"/>
          <w:szCs w:val="24"/>
        </w:rPr>
      </w:pPr>
    </w:p>
    <w:sectPr w:rsidR="001B05C9" w:rsidRPr="00C12D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B1A46"/>
    <w:multiLevelType w:val="multilevel"/>
    <w:tmpl w:val="46D6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57"/>
    <w:rsid w:val="001B05C9"/>
    <w:rsid w:val="00C12D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3A645-077C-407A-905F-2BE80B53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12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D57"/>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C12D57"/>
    <w:rPr>
      <w:color w:val="0000FF"/>
      <w:u w:val="single"/>
    </w:rPr>
  </w:style>
  <w:style w:type="character" w:styleId="Textoennegrita">
    <w:name w:val="Strong"/>
    <w:basedOn w:val="Fuentedeprrafopredeter"/>
    <w:uiPriority w:val="22"/>
    <w:qFormat/>
    <w:rsid w:val="00C12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60954">
      <w:bodyDiv w:val="1"/>
      <w:marLeft w:val="0"/>
      <w:marRight w:val="0"/>
      <w:marTop w:val="0"/>
      <w:marBottom w:val="0"/>
      <w:divBdr>
        <w:top w:val="none" w:sz="0" w:space="0" w:color="auto"/>
        <w:left w:val="none" w:sz="0" w:space="0" w:color="auto"/>
        <w:bottom w:val="none" w:sz="0" w:space="0" w:color="auto"/>
        <w:right w:val="none" w:sz="0" w:space="0" w:color="auto"/>
      </w:divBdr>
      <w:divsChild>
        <w:div w:id="1478258054">
          <w:marLeft w:val="0"/>
          <w:marRight w:val="0"/>
          <w:marTop w:val="0"/>
          <w:marBottom w:val="0"/>
          <w:divBdr>
            <w:top w:val="none" w:sz="0" w:space="0" w:color="auto"/>
            <w:left w:val="none" w:sz="0" w:space="0" w:color="auto"/>
            <w:bottom w:val="none" w:sz="0" w:space="0" w:color="auto"/>
            <w:right w:val="none" w:sz="0" w:space="0" w:color="auto"/>
          </w:divBdr>
          <w:divsChild>
            <w:div w:id="942497180">
              <w:marLeft w:val="-225"/>
              <w:marRight w:val="-225"/>
              <w:marTop w:val="0"/>
              <w:marBottom w:val="0"/>
              <w:divBdr>
                <w:top w:val="none" w:sz="0" w:space="0" w:color="auto"/>
                <w:left w:val="none" w:sz="0" w:space="0" w:color="auto"/>
                <w:bottom w:val="none" w:sz="0" w:space="0" w:color="auto"/>
                <w:right w:val="none" w:sz="0" w:space="0" w:color="auto"/>
              </w:divBdr>
              <w:divsChild>
                <w:div w:id="20591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3752">
          <w:marLeft w:val="-225"/>
          <w:marRight w:val="-225"/>
          <w:marTop w:val="0"/>
          <w:marBottom w:val="0"/>
          <w:divBdr>
            <w:top w:val="none" w:sz="0" w:space="0" w:color="auto"/>
            <w:left w:val="none" w:sz="0" w:space="0" w:color="auto"/>
            <w:bottom w:val="none" w:sz="0" w:space="0" w:color="auto"/>
            <w:right w:val="none" w:sz="0" w:space="0" w:color="auto"/>
          </w:divBdr>
          <w:divsChild>
            <w:div w:id="144930855">
              <w:marLeft w:val="0"/>
              <w:marRight w:val="0"/>
              <w:marTop w:val="0"/>
              <w:marBottom w:val="0"/>
              <w:divBdr>
                <w:top w:val="none" w:sz="0" w:space="0" w:color="auto"/>
                <w:left w:val="none" w:sz="0" w:space="0" w:color="auto"/>
                <w:bottom w:val="none" w:sz="0" w:space="0" w:color="auto"/>
                <w:right w:val="none" w:sz="0" w:space="0" w:color="auto"/>
              </w:divBdr>
              <w:divsChild>
                <w:div w:id="1878077969">
                  <w:marLeft w:val="0"/>
                  <w:marRight w:val="0"/>
                  <w:marTop w:val="0"/>
                  <w:marBottom w:val="0"/>
                  <w:divBdr>
                    <w:top w:val="none" w:sz="0" w:space="0" w:color="auto"/>
                    <w:left w:val="none" w:sz="0" w:space="0" w:color="auto"/>
                    <w:bottom w:val="none" w:sz="0" w:space="0" w:color="auto"/>
                    <w:right w:val="none" w:sz="0" w:space="0" w:color="auto"/>
                  </w:divBdr>
                </w:div>
                <w:div w:id="14988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2866" TargetMode="External"/><Relationship Id="rId13" Type="http://schemas.openxmlformats.org/officeDocument/2006/relationships/hyperlink" Target="https://www.funcionpublica.gov.co/eva/gestornormativo/norma.php?i=6286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ncionpublica.gov.co/eva/gestornormativo/norma.php?i=62866" TargetMode="External"/><Relationship Id="rId12" Type="http://schemas.openxmlformats.org/officeDocument/2006/relationships/hyperlink" Target="https://www.funcionpublica.gov.co/eva/gestornormativo/norma.php?i=6799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uncionpublica.gov.co/eva/gestornormativo/norma.php?i=329"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62866" TargetMode="External"/><Relationship Id="rId11" Type="http://schemas.openxmlformats.org/officeDocument/2006/relationships/hyperlink" Target="https://www.funcionpublica.gov.co/eva/gestornormativo/norma.php?i=48267" TargetMode="External"/><Relationship Id="rId5" Type="http://schemas.openxmlformats.org/officeDocument/2006/relationships/hyperlink" Target="https://www.funcionpublica.gov.co/eva/gestornormativo/norma.php?i=329" TargetMode="External"/><Relationship Id="rId15" Type="http://schemas.openxmlformats.org/officeDocument/2006/relationships/hyperlink" Target="https://www.funcionpublica.gov.co/eva/gestornormativo/norma.php?i=329" TargetMode="External"/><Relationship Id="rId10" Type="http://schemas.openxmlformats.org/officeDocument/2006/relationships/hyperlink" Target="https://www.funcionpublica.gov.co/eva/gestornormativo/norma.php?i=62866"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2866" TargetMode="External"/><Relationship Id="rId14" Type="http://schemas.openxmlformats.org/officeDocument/2006/relationships/hyperlink" Target="https://www.funcionpublica.gov.co/eva/gestornormativo/norma.php?i=628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1246</Words>
  <Characters>6858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2019-06-17T18:34:00Z</dcterms:created>
  <dcterms:modified xsi:type="dcterms:W3CDTF">2019-06-17T18:37:00Z</dcterms:modified>
</cp:coreProperties>
</file>